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outlineLvl w:val="0"/>
      </w:pPr>
      <w:r>
        <w:rPr>
          <w:rFonts w:ascii="Times New Roman" w:hAnsi="Times New Roman" w:hint="default"/>
          <w:b w:val="1"/>
          <w:bCs w:val="1"/>
          <w:kern w:val="36"/>
          <w:sz w:val="48"/>
          <w:szCs w:val="48"/>
          <w:rtl w:val="0"/>
          <w:lang w:val="ru-RU"/>
        </w:rPr>
        <w:t>Оформление реферата</w:t>
      </w:r>
    </w:p>
    <w:p>
      <w:pPr>
        <w:pStyle w:val="Normal.0"/>
        <w:spacing w:after="0" w:line="240" w:lineRule="auto"/>
        <w:jc w:val="both"/>
        <w:outlineLvl w:val="0"/>
      </w:pPr>
    </w:p>
    <w:p>
      <w:pPr>
        <w:pStyle w:val="Normal.0"/>
        <w:spacing w:after="0" w:line="240" w:lineRule="auto"/>
        <w:jc w:val="both"/>
      </w:pPr>
      <w:r>
        <w:rPr>
          <w:b w:val="1"/>
          <w:bCs w:val="1"/>
          <w:sz w:val="24"/>
          <w:szCs w:val="24"/>
          <w:rtl w:val="0"/>
          <w:lang w:val="ru-RU"/>
        </w:rPr>
        <w:t>Реферат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 xml:space="preserve">от латинского </w:t>
      </w:r>
      <w:r>
        <w:rPr>
          <w:sz w:val="24"/>
          <w:szCs w:val="24"/>
          <w:rtl w:val="0"/>
          <w:lang w:val="ru-RU"/>
        </w:rPr>
        <w:t xml:space="preserve">Referre </w:t>
      </w:r>
      <w:r>
        <w:rPr>
          <w:sz w:val="24"/>
          <w:szCs w:val="24"/>
          <w:rtl w:val="0"/>
          <w:lang w:val="ru-RU"/>
        </w:rPr>
        <w:t>— докладывать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сообщать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— небольшое устное сообщение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изложение в письменной форме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Обычно целью реферата является — демонстрация знаний учащихся по конкретному предмету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теме или проблеме и практических навыков анализа научной и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методической литературы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sz w:val="24"/>
          <w:szCs w:val="24"/>
          <w:rtl w:val="0"/>
          <w:lang w:val="ru-RU"/>
        </w:rPr>
        <w:t>Реферат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и любой документ пишется и оформляется в соответствии с определенными стандартами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"http://alliance-din.ru/"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России — ГОСТов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1"/>
      </w:pPr>
    </w:p>
    <w:p>
      <w:pPr>
        <w:pStyle w:val="Normal.0"/>
        <w:spacing w:after="0" w:line="240" w:lineRule="auto"/>
        <w:jc w:val="both"/>
        <w:outlineLvl w:val="1"/>
      </w:pPr>
      <w:r>
        <w:rPr>
          <w:rStyle w:val="Нет"/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Содержание и структура реферата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Процесс работы лучше разбить на следующие этапы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Определить и выделить проблему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На основе первоисточников самостоятельно изучить проблему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Провести обзор выбранной литературы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Логично изложить материал</w:t>
      </w:r>
    </w:p>
    <w:p>
      <w:pPr>
        <w:pStyle w:val="Normal.0"/>
        <w:spacing w:after="0" w:line="240" w:lineRule="auto"/>
        <w:jc w:val="both"/>
        <w:outlineLvl w:val="2"/>
      </w:pPr>
    </w:p>
    <w:p>
      <w:pPr>
        <w:pStyle w:val="Normal.0"/>
        <w:spacing w:after="0" w:line="240" w:lineRule="auto"/>
        <w:jc w:val="both"/>
        <w:outlineLvl w:val="2"/>
      </w:pPr>
      <w:r>
        <w:rPr>
          <w:rStyle w:val="Нет"/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Рекомендуемая структура реферата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Введение — излагается цель и задачи работы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обоснование выбора темы и её актуальность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Объём</w:t>
      </w:r>
      <w:r>
        <w:rPr>
          <w:rStyle w:val="Нет"/>
          <w:sz w:val="24"/>
          <w:szCs w:val="24"/>
          <w:rtl w:val="0"/>
          <w:lang w:val="ru-RU"/>
        </w:rPr>
        <w:t>: 1</w:t>
      </w:r>
      <w:r>
        <w:rPr>
          <w:rStyle w:val="Нет"/>
          <w:sz w:val="24"/>
          <w:szCs w:val="24"/>
          <w:rtl w:val="0"/>
          <w:lang w:val="ru-RU"/>
        </w:rPr>
        <w:t>—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>страницы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Основная часть — точка зрения автора на основе анализа литературы по проблеме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Объём</w:t>
      </w:r>
      <w:r>
        <w:rPr>
          <w:rStyle w:val="Нет"/>
          <w:sz w:val="24"/>
          <w:szCs w:val="24"/>
          <w:rtl w:val="0"/>
          <w:lang w:val="ru-RU"/>
        </w:rPr>
        <w:t>: 8</w:t>
      </w:r>
      <w:r>
        <w:rPr>
          <w:rStyle w:val="Нет"/>
          <w:sz w:val="24"/>
          <w:szCs w:val="24"/>
          <w:rtl w:val="0"/>
          <w:lang w:val="ru-RU"/>
        </w:rPr>
        <w:t>—</w:t>
      </w:r>
      <w:r>
        <w:rPr>
          <w:rStyle w:val="Нет"/>
          <w:sz w:val="24"/>
          <w:szCs w:val="24"/>
          <w:rtl w:val="0"/>
          <w:lang w:val="ru-RU"/>
        </w:rPr>
        <w:t xml:space="preserve">15 </w:t>
      </w:r>
      <w:r>
        <w:rPr>
          <w:rStyle w:val="Нет"/>
          <w:sz w:val="24"/>
          <w:szCs w:val="24"/>
          <w:rtl w:val="0"/>
          <w:lang w:val="ru-RU"/>
        </w:rPr>
        <w:t>страниц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Заключение — формируются выводы и предложения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Заключение должно быть кратким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четким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выводы должны вытекать из содержания основной части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Объём</w:t>
      </w:r>
      <w:r>
        <w:rPr>
          <w:rStyle w:val="Нет"/>
          <w:sz w:val="24"/>
          <w:szCs w:val="24"/>
          <w:rtl w:val="0"/>
          <w:lang w:val="ru-RU"/>
        </w:rPr>
        <w:t>: 1</w:t>
      </w:r>
      <w:r>
        <w:rPr>
          <w:rStyle w:val="Нет"/>
          <w:sz w:val="24"/>
          <w:szCs w:val="24"/>
          <w:rtl w:val="0"/>
          <w:lang w:val="ru-RU"/>
        </w:rPr>
        <w:t>—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>страницы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Список используемой литературы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В реферате могут быть приложения в виде схем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анкет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диаграмм и прочего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оформлении реферата приветствуются рисунки и таблицы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1"/>
      </w:pPr>
    </w:p>
    <w:p>
      <w:pPr>
        <w:pStyle w:val="Normal.0"/>
        <w:spacing w:after="0" w:line="240" w:lineRule="auto"/>
        <w:jc w:val="both"/>
        <w:outlineLvl w:val="1"/>
      </w:pPr>
      <w:r>
        <w:rPr>
          <w:rStyle w:val="Нет"/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Оформление реферата</w:t>
      </w:r>
    </w:p>
    <w:p>
      <w:pPr>
        <w:pStyle w:val="Normal.0"/>
        <w:spacing w:after="0" w:line="240" w:lineRule="auto"/>
        <w:jc w:val="both"/>
        <w:outlineLvl w:val="2"/>
      </w:pPr>
      <w:r>
        <w:rPr>
          <w:rStyle w:val="Нет"/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Текст и его оформление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 xml:space="preserve">Размер шрифта </w:t>
      </w:r>
      <w:r>
        <w:rPr>
          <w:rStyle w:val="Hyperlink.0"/>
          <w:rtl w:val="0"/>
          <w:lang w:val="ru-RU"/>
        </w:rPr>
        <w:t>12</w:t>
      </w:r>
      <w:r>
        <w:rPr>
          <w:rStyle w:val="Hyperlink.0"/>
          <w:rtl w:val="0"/>
          <w:lang w:val="ru-RU"/>
        </w:rPr>
        <w:t>—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>пунктов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гарнитура </w:t>
      </w:r>
      <w:r>
        <w:rPr>
          <w:rStyle w:val="Hyperlink.0"/>
          <w:rtl w:val="0"/>
          <w:lang w:val="ru-RU"/>
        </w:rPr>
        <w:t xml:space="preserve">Times New Roman, </w:t>
      </w:r>
      <w:r>
        <w:rPr>
          <w:rStyle w:val="Hyperlink.0"/>
          <w:rtl w:val="0"/>
          <w:lang w:val="ru-RU"/>
        </w:rPr>
        <w:t>обычный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интервал между строк</w:t>
      </w:r>
      <w:r>
        <w:rPr>
          <w:rStyle w:val="Hyperlink.0"/>
          <w:rtl w:val="0"/>
          <w:lang w:val="ru-RU"/>
        </w:rPr>
        <w:t>: 1,5</w:t>
      </w:r>
      <w:r>
        <w:rPr>
          <w:rStyle w:val="Hyperlink.0"/>
          <w:rtl w:val="0"/>
          <w:lang w:val="ru-RU"/>
        </w:rPr>
        <w:t>—</w:t>
      </w:r>
      <w:r>
        <w:rPr>
          <w:rStyle w:val="Hyperlink.0"/>
          <w:rtl w:val="0"/>
          <w:lang w:val="ru-RU"/>
        </w:rPr>
        <w:t xml:space="preserve">2; </w:t>
      </w:r>
      <w:r>
        <w:rPr>
          <w:rStyle w:val="Hyperlink.0"/>
          <w:rtl w:val="0"/>
          <w:lang w:val="ru-RU"/>
        </w:rPr>
        <w:t>размер полей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 xml:space="preserve">левого — </w:t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>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правого —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верхнего — </w:t>
      </w:r>
      <w:r>
        <w:rPr>
          <w:rStyle w:val="Hyperlink.0"/>
          <w:rtl w:val="0"/>
          <w:lang w:val="ru-RU"/>
        </w:rPr>
        <w:t xml:space="preserve">20 </w:t>
      </w:r>
      <w:r>
        <w:rPr>
          <w:rStyle w:val="Hyperlink.0"/>
          <w:rtl w:val="0"/>
          <w:lang w:val="ru-RU"/>
        </w:rPr>
        <w:t>мм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нижнего — </w:t>
      </w:r>
      <w:r>
        <w:rPr>
          <w:rStyle w:val="Hyperlink.0"/>
          <w:rtl w:val="0"/>
          <w:lang w:val="ru-RU"/>
        </w:rPr>
        <w:t xml:space="preserve">20 </w:t>
      </w:r>
      <w:r>
        <w:rPr>
          <w:rStyle w:val="Hyperlink.0"/>
          <w:rtl w:val="0"/>
          <w:lang w:val="ru-RU"/>
        </w:rPr>
        <w:t>мм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Точку в конце заголовка не ставят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Заглавия всегда выделены жирным шрифтом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Обычно</w:t>
      </w:r>
      <w:r>
        <w:rPr>
          <w:rStyle w:val="Hyperlink.0"/>
          <w:rtl w:val="0"/>
          <w:lang w:val="ru-RU"/>
        </w:rPr>
        <w:t xml:space="preserve">: 1 </w:t>
      </w:r>
      <w:r>
        <w:rPr>
          <w:rStyle w:val="Hyperlink.0"/>
          <w:rtl w:val="0"/>
          <w:lang w:val="ru-RU"/>
        </w:rPr>
        <w:t xml:space="preserve">заголовок — шрифт размером </w:t>
      </w:r>
      <w:r>
        <w:rPr>
          <w:rStyle w:val="Hyperlink.0"/>
          <w:rtl w:val="0"/>
          <w:lang w:val="ru-RU"/>
        </w:rPr>
        <w:t xml:space="preserve">16 </w:t>
      </w:r>
      <w:r>
        <w:rPr>
          <w:rStyle w:val="Hyperlink.0"/>
          <w:rtl w:val="0"/>
          <w:lang w:val="ru-RU"/>
        </w:rPr>
        <w:t>пунктов</w:t>
      </w:r>
      <w:r>
        <w:rPr>
          <w:rStyle w:val="Hyperlink.0"/>
          <w:rtl w:val="0"/>
          <w:lang w:val="ru-RU"/>
        </w:rPr>
        <w:t xml:space="preserve">, 2 </w:t>
      </w:r>
      <w:r>
        <w:rPr>
          <w:rStyle w:val="Hyperlink.0"/>
          <w:rtl w:val="0"/>
          <w:lang w:val="ru-RU"/>
        </w:rPr>
        <w:t xml:space="preserve">заголовок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шрифт размером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>пунктов</w:t>
      </w:r>
      <w:r>
        <w:rPr>
          <w:rStyle w:val="Hyperlink.0"/>
          <w:rtl w:val="0"/>
          <w:lang w:val="ru-RU"/>
        </w:rPr>
        <w:t xml:space="preserve">, 3 </w:t>
      </w:r>
      <w:r>
        <w:rPr>
          <w:rStyle w:val="Hyperlink.0"/>
          <w:rtl w:val="0"/>
          <w:lang w:val="ru-RU"/>
        </w:rPr>
        <w:t xml:space="preserve">заголовок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шрифт размером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>пунктов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курсив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Расстояние между заголовками главы или параграфа и последующим текстом должно быть равно трем интервалам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Чтобы после оформления работы получить автоматическое оглавление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необходимо проставить названия глав как «Заголовок </w:t>
      </w:r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«Заголовок </w:t>
      </w:r>
      <w:r>
        <w:rPr>
          <w:rStyle w:val="Hyperlink.0"/>
          <w:rtl w:val="0"/>
          <w:lang w:val="ru-RU"/>
        </w:rPr>
        <w:t>2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«Заголовок </w:t>
      </w:r>
      <w:r>
        <w:rPr>
          <w:rStyle w:val="Hyperlink.0"/>
          <w:rtl w:val="0"/>
          <w:lang w:val="ru-RU"/>
        </w:rPr>
        <w:t>3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973653" cy="3370285"/>
            <wp:effectExtent l="0" t="0" r="0" b="0"/>
            <wp:docPr id="1073741825" name="officeArt object" descr="Заголовки раб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Заголовки работы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653" cy="3370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Текст печатается на одной стороне страницы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сноски и примечания обозначаются либо в самом тексте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так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[3,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55-56],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либо внизу страницы</w:t>
      </w:r>
      <w:r>
        <w:rPr>
          <w:rStyle w:val="Нет"/>
          <w:sz w:val="24"/>
          <w:szCs w:val="24"/>
          <w:vertAlign w:val="superscript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hAnsi="Times New Roman"/>
          <w:sz w:val="24"/>
          <w:szCs w:val="24"/>
          <w:vertAlign w:val="superscript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Синкевич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направленные на урегулирование вопросов гражданства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Проспект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2000.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55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56.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 xml:space="preserve">Для оформления сносок и примечаний используются стандартные средства </w:t>
      </w:r>
      <w:r>
        <w:rPr>
          <w:rStyle w:val="Hyperlink.0"/>
          <w:rtl w:val="0"/>
          <w:lang w:val="ru-RU"/>
        </w:rPr>
        <w:t>Microsoft Word.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Все страницы нумеруются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начиная с титульного листа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цифру номера страницы ставят вверху по центру страницы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на титульном листе номер страницы не ставится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Каждый новый раздел начинается с новой страницы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2"/>
      </w:pPr>
    </w:p>
    <w:p>
      <w:pPr>
        <w:pStyle w:val="Normal.0"/>
        <w:spacing w:after="0" w:line="240" w:lineRule="auto"/>
        <w:jc w:val="both"/>
        <w:outlineLvl w:val="2"/>
      </w:pPr>
      <w:r>
        <w:rPr>
          <w:rStyle w:val="Нет"/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Титульный лист реферата</w:t>
      </w:r>
      <w:r>
        <w:rPr>
          <w:rStyle w:val="Нет"/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оглавление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Вверху указывается полное наименование учебного заведения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Ниже по центру указывается название темы реферата без слова «тема» и кавычек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дисциплина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Еще ниже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ближе к правому краю титульного листа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указывается ФИО ученика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группа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В нижнем поле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по центру указывается город и год выполнения работы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без слова «год»</w:t>
      </w:r>
      <w:r>
        <w:rPr>
          <w:rStyle w:val="Hyperlink.0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Оглавление размещается после титульного листа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котором приводятся все заголовки работы и указываются страницы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 которых они начинаются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Заголовки оглавления должны точно повторять заголовки в тексте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2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g">
            <w:drawing>
              <wp:inline distT="0" distB="0" distL="0" distR="0">
                <wp:extent cx="4358005" cy="4761866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5" cy="4761866"/>
                          <a:chOff x="0" y="0"/>
                          <a:chExt cx="4358004" cy="476186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358005" cy="4761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358005" cy="47618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МИНИСТЕРСТВО ОБРАЗОВАНИЯ ОМСКОЙ ОБЛАСТИ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бюджетное образовательное учреждение Омской области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среднего профессионального образования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«Омский автотранспортный колледж»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БПОУ «Омский АТК»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Роль физической культуры в общей культуре человека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по дисциплине Физическая культура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Иванов Иван Иванович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Style w:val="Нет"/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Группа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: 0000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right"/>
                                <w:rPr>
                                  <w:rFonts w:ascii="Times New Roman" w:cs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Омск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, 2015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3.1pt;height:375.0pt;" coordorigin="0,0" coordsize="4358005,4761865">
                <v:rect id="_x0000_s1027" style="position:absolute;left:0;top:0;width:4358005;height:476186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4358005;height:47618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МИНИСТЕРСТВО ОБРАЗОВАНИЯ ОМСКОЙ ОБЛАСТИ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бюджетное образовательное учреждение Омской области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среднего профессионального образования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«Омский автотранспортный колледж»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БПОУ «Омский АТК»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ru-RU"/>
                          </w:rPr>
                          <w:t>)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ru-RU"/>
                          </w:rPr>
                          <w:t>Роль физической культуры в общей культуре человека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Style w:val="Нет"/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по дисциплине Физическая культура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Style w:val="Нет"/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Иванов Иван Иванович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Style w:val="Нет"/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Группа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sz w:val="20"/>
                            <w:szCs w:val="20"/>
                            <w:rtl w:val="0"/>
                            <w:lang w:val="ru-RU"/>
                          </w:rPr>
                          <w:t>: 0000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right"/>
                          <w:rPr>
                            <w:rFonts w:ascii="Times New Roman" w:cs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sz w:val="20"/>
                            <w:szCs w:val="20"/>
                            <w:rtl w:val="0"/>
                            <w:lang w:val="ru-RU"/>
                          </w:rPr>
                          <w:t>Омск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sz w:val="20"/>
                            <w:szCs w:val="20"/>
                            <w:rtl w:val="0"/>
                            <w:lang w:val="ru-RU"/>
                          </w:rPr>
                          <w:t>, 2015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pacing w:after="0" w:line="240" w:lineRule="auto"/>
        <w:jc w:val="both"/>
        <w:outlineLvl w:val="2"/>
      </w:pPr>
    </w:p>
    <w:p>
      <w:pPr>
        <w:pStyle w:val="Normal.0"/>
        <w:spacing w:after="0" w:line="240" w:lineRule="auto"/>
        <w:jc w:val="both"/>
        <w:outlineLvl w:val="2"/>
      </w:pPr>
      <w:r>
        <w:rPr>
          <w:rStyle w:val="Нет"/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Оформление списка используемой литературы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Список литературы должен быть свежим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источники </w:t>
      </w:r>
      <w:r>
        <w:rPr>
          <w:rStyle w:val="Hyperlink.0"/>
          <w:rtl w:val="0"/>
          <w:lang w:val="ru-RU"/>
        </w:rPr>
        <w:t>5</w:t>
      </w:r>
      <w:r>
        <w:rPr>
          <w:rStyle w:val="Hyperlink.0"/>
          <w:rtl w:val="0"/>
          <w:lang w:val="ru-RU"/>
        </w:rPr>
        <w:t>—</w:t>
      </w:r>
      <w:r>
        <w:rPr>
          <w:rStyle w:val="Hyperlink.0"/>
          <w:rtl w:val="0"/>
          <w:lang w:val="ru-RU"/>
        </w:rPr>
        <w:t xml:space="preserve">7 </w:t>
      </w:r>
      <w:r>
        <w:rPr>
          <w:rStyle w:val="Hyperlink.0"/>
          <w:rtl w:val="0"/>
          <w:lang w:val="ru-RU"/>
        </w:rPr>
        <w:t>летней давности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редко можно использовать ранние труды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условии их уникальности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Источники указываются в следующем порядке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законодательная литература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есть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основная и периодическая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интернет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источники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есть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Style w:val="Hyperlink.0"/>
          <w:rtl w:val="0"/>
          <w:lang w:val="ru-RU"/>
        </w:rPr>
        <w:t>Пример оформления списка литературы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ФЗ «О гражданстве Российской Федерации»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СЗ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2031.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Синкевич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направленные на урегулирование вопросов гражданства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Проспект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2000.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55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56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Блинов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Чаплин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Гражданство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проблемы и перспективы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Конституционное и муниципальное право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3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Остапов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Компрессоры и их устройство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Интернет ресурс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compresium.ru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4"/>
      <w:szCs w:val="24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